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drawing>
          <wp:inline distT="0" distB="0" distL="0" distR="0">
            <wp:extent cx="2476500"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476500" cy="619125"/>
                    </a:xfrm>
                    <a:prstGeom prst="rect">
                      <a:avLst/>
                    </a:prstGeom>
                  </pic:spPr>
                </pic:pic>
              </a:graphicData>
            </a:graphic>
          </wp:inline>
        </w:drawing>
      </w:r>
    </w:p>
    <w:p>
      <w:pPr>
        <w:pBdr>
          <w:bottom w:val="single" w:color="00B8AA" w:sz="10" w:space="4"/>
        </w:pBdr>
        <w:spacing w:after="360" w:before="0"/>
      </w:pPr>
    </w:p>
    <w:p>
      <w:pPr>
        <w:spacing w:after="80" w:before="0"/>
      </w:pPr>
      <w:r>
        <w:rPr>
          <w:rFonts w:ascii="Arial" w:cs="Arial" w:eastAsia="Arial" w:hAnsi="Arial"/>
          <w:b/>
          <w:bCs/>
          <w:i w:val="false"/>
          <w:iCs w:val="false"/>
          <w:color w:val="00B8AA"/>
          <w:sz w:val="46"/>
          <w:szCs w:val="46"/>
        </w:rPr>
        <w:t xml:space="preserve">Data Processing Agreement</w:t>
      </w:r>
    </w:p>
    <w:p>
      <w:pPr>
        <w:spacing w:after="440" w:before="80"/>
        <w:jc w:val="left"/>
      </w:pPr>
      <w:r>
        <w:rPr>
          <w:rFonts w:ascii="Arial" w:cs="Arial" w:eastAsia="Arial" w:hAnsi="Arial"/>
          <w:b w:val="false"/>
          <w:bCs w:val="false"/>
          <w:i/>
          <w:iCs/>
          <w:color w:val="555555"/>
          <w:sz w:val="24"/>
          <w:szCs w:val="24"/>
        </w:rPr>
        <w:t xml:space="preserve">Annexes pursuant to EU Commission Standard Contractual Clauses (Decision 2021/915)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Controller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[Full name of the organisation]</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Processor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Gumb AG</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Legal basis</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Art. 28 GDPR in conjunction with EU Decision 2021/915</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Version</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June 2026</w:t>
            </w:r>
          </w:p>
        </w:tc>
      </w:tr>
    </w:tbl>
    <w:p>
      <w:pPr>
        <w:spacing w:after="0" w:before="280"/>
      </w:pPr>
    </w:p>
    <w:p>
      <w:pPr>
        <w:pBdr>
          <w:left w:val="single" w:color="00B8AA" w:sz="12" w:space="4"/>
        </w:pBdr>
        <w:spacing w:after="40" w:before="80"/>
        <w:ind w:left="160"/>
      </w:pPr>
      <w:r>
        <w:rPr>
          <w:rFonts w:ascii="Arial" w:cs="Arial" w:eastAsia="Arial" w:hAnsi="Arial"/>
          <w:b/>
          <w:bCs/>
          <w:i w:val="false"/>
          <w:iCs w:val="false"/>
          <w:color w:val="1A1A1A"/>
          <w:sz w:val="22"/>
          <w:szCs w:val="22"/>
        </w:rPr>
        <w:t xml:space="preserve">How to complete this document</w:t>
      </w:r>
    </w:p>
    <w:p>
      <w:pPr>
        <w:spacing w:after="160" w:before="0"/>
        <w:ind w:left="160"/>
      </w:pPr>
      <w:r>
        <w:rPr>
          <w:rFonts w:ascii="Arial" w:cs="Arial" w:eastAsia="Arial" w:hAnsi="Arial"/>
          <w:b w:val="false"/>
          <w:bCs w:val="false"/>
          <w:i w:val="false"/>
          <w:iCs w:val="false"/>
          <w:color w:val="1A1A1A"/>
          <w:sz w:val="20"/>
          <w:szCs w:val="20"/>
        </w:rPr>
        <w:t xml:space="preserve">Fields in </w:t>
      </w:r>
      <w:r>
        <w:rPr>
          <w:rFonts w:ascii="Arial" w:cs="Arial" w:eastAsia="Arial" w:hAnsi="Arial"/>
          <w:b/>
          <w:bCs/>
          <w:i/>
          <w:iCs/>
          <w:color w:val="9C5700"/>
          <w:sz w:val="22"/>
          <w:szCs w:val="22"/>
        </w:rPr>
        <w:t xml:space="preserve">bold italic text</w:t>
      </w:r>
      <w:r>
        <w:rPr>
          <w:rFonts w:ascii="Arial" w:cs="Arial" w:eastAsia="Arial" w:hAnsi="Arial"/>
          <w:b w:val="false"/>
          <w:bCs w:val="false"/>
          <w:i w:val="false"/>
          <w:iCs w:val="false"/>
          <w:color w:val="1A1A1A"/>
          <w:sz w:val="20"/>
          <w:szCs w:val="20"/>
        </w:rPr>
        <w:t xml:space="preserve"> must be completed by the Controller. All other fields are pre-filled by Gumb AG. Please sign two copies and return one signed copy to </w:t>
      </w:r>
      <w:r>
        <w:rPr>
          <w:rFonts w:ascii="Arial" w:cs="Arial" w:eastAsia="Arial" w:hAnsi="Arial"/>
          <w:b/>
          <w:bCs/>
          <w:i w:val="false"/>
          <w:iCs w:val="false"/>
          <w:color w:val="1A1A1A"/>
          <w:sz w:val="20"/>
          <w:szCs w:val="20"/>
        </w:rPr>
        <w:t xml:space="preserve">support@gumb.app</w:t>
      </w:r>
      <w:r>
        <w:rPr>
          <w:rFonts w:ascii="Arial" w:cs="Arial" w:eastAsia="Arial" w:hAnsi="Arial"/>
          <w:b w:val="false"/>
          <w:bCs w:val="false"/>
          <w:i w:val="false"/>
          <w:iCs w:val="false"/>
          <w:color w:val="1A1A1A"/>
          <w:sz w:val="20"/>
          <w:szCs w:val="20"/>
        </w:rPr>
        <w:t xml:space="preserve">.</w:t>
      </w:r>
    </w:p>
    <w:p>
      <w:r>
        <w:br w:type="page"/>
      </w:r>
    </w:p>
    <w:p>
      <w:pPr>
        <w:pBdr>
          <w:bottom w:val="single" w:color="00B8AA" w:sz="6" w:space="2"/>
        </w:pBdr>
        <w:spacing w:after="120" w:before="320"/>
      </w:pPr>
      <w:r>
        <w:rPr>
          <w:rFonts w:ascii="Arial" w:cs="Arial" w:eastAsia="Arial" w:hAnsi="Arial"/>
          <w:b/>
          <w:bCs/>
          <w:i w:val="false"/>
          <w:iCs w:val="false"/>
          <w:color w:val="00B8AA"/>
          <w:sz w:val="28"/>
          <w:szCs w:val="28"/>
        </w:rPr>
        <w:t xml:space="preserve">Annex I.A – Parties</w:t>
      </w:r>
    </w:p>
    <w:p>
      <w:pPr>
        <w:spacing w:after="0" w:before="80"/>
      </w:pPr>
    </w:p>
    <w:p>
      <w:pPr>
        <w:spacing w:after="80" w:before="240"/>
      </w:pPr>
      <w:r>
        <w:rPr>
          <w:rFonts w:ascii="Arial" w:cs="Arial" w:eastAsia="Arial" w:hAnsi="Arial"/>
          <w:b/>
          <w:bCs/>
          <w:i w:val="false"/>
          <w:iCs w:val="false"/>
          <w:color w:val="2D2D2D"/>
          <w:sz w:val="24"/>
          <w:szCs w:val="24"/>
        </w:rPr>
        <w:t xml:space="preserve">Controller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Name / Organisation</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[Full legal name of the organisation]</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Address</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[Street and number, Postcode City, Country]</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Association / Commercial register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[Registration number – or: not registered]</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VAT / Tax ID</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[If applicable, otherwise delete this row]</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Data protection contact</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[Name of data protection officer or responsible person]</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Email (data protection)</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[Email address]</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Role under GDPR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Controller pursuant to Art. 4 No. 7 GDPR</w:t>
            </w:r>
          </w:p>
        </w:tc>
      </w:tr>
    </w:tbl>
    <w:p>
      <w:pPr>
        <w:spacing w:after="0" w:before="200"/>
      </w:pPr>
    </w:p>
    <w:p>
      <w:pPr>
        <w:spacing w:after="80" w:before="240"/>
      </w:pPr>
      <w:r>
        <w:rPr>
          <w:rFonts w:ascii="Arial" w:cs="Arial" w:eastAsia="Arial" w:hAnsi="Arial"/>
          <w:b/>
          <w:bCs/>
          <w:i w:val="false"/>
          <w:iCs w:val="false"/>
          <w:color w:val="2D2D2D"/>
          <w:sz w:val="24"/>
          <w:szCs w:val="24"/>
        </w:rPr>
        <w:t xml:space="preserve">Processor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Name</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Gumb AG</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Address</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Büsingerstrasse 5, CH-8203 Schaffhausen, Switzerland</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Identification no.</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UID CHE-107.427.363 VAT</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Managing Director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Dominik Frei</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Contact</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support@gumb.app</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Website</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https://gumb.app</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Data protection contact</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support@gumb.app</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Role under GDPR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Processor pursuant to Art. 4 No. 8 GDPR</w:t>
            </w:r>
          </w:p>
        </w:tc>
      </w:tr>
    </w:tbl>
    <w:p>
      <w:pPr>
        <w:spacing w:after="0" w:before="200"/>
      </w:pPr>
    </w:p>
    <w:p>
      <w:pPr>
        <w:spacing w:after="80" w:before="240"/>
      </w:pPr>
      <w:r>
        <w:rPr>
          <w:rFonts w:ascii="Arial" w:cs="Arial" w:eastAsia="Arial" w:hAnsi="Arial"/>
          <w:b/>
          <w:bCs/>
          <w:i w:val="false"/>
          <w:iCs w:val="false"/>
          <w:color w:val="2D2D2D"/>
          <w:sz w:val="24"/>
          <w:szCs w:val="24"/>
        </w:rPr>
        <w:t xml:space="preserve">Signatures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Date of signature</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[Date]</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On behalf of the Controller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bCs/>
                <w:i/>
                <w:iCs/>
                <w:color w:val="9C5700"/>
                <w:sz w:val="22"/>
                <w:szCs w:val="22"/>
              </w:rPr>
              <w:t xml:space="preserve">[Signature / Name / Title]</w:t>
            </w:r>
          </w:p>
        </w:tc>
      </w:tr>
      <w:tr>
        <w:tc>
          <w:tcPr>
            <w:tcW w:type="dxa" w:w="27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On behalf of the Processor</w:t>
            </w:r>
          </w:p>
        </w:tc>
        <w:tc>
          <w:tcPr>
            <w:tcW w:type="dxa" w:w="63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Dominik Frei, Managing Director, Gumb AG</w:t>
            </w:r>
          </w:p>
        </w:tc>
      </w:tr>
    </w:tbl>
    <w:p>
      <w:r>
        <w:br w:type="page"/>
      </w:r>
    </w:p>
    <w:p>
      <w:pPr>
        <w:pBdr>
          <w:bottom w:val="single" w:color="00B8AA" w:sz="6" w:space="2"/>
        </w:pBdr>
        <w:spacing w:after="120" w:before="320"/>
      </w:pPr>
      <w:r>
        <w:rPr>
          <w:rFonts w:ascii="Arial" w:cs="Arial" w:eastAsia="Arial" w:hAnsi="Arial"/>
          <w:b/>
          <w:bCs/>
          <w:i w:val="false"/>
          <w:iCs w:val="false"/>
          <w:color w:val="00B8AA"/>
          <w:sz w:val="28"/>
          <w:szCs w:val="28"/>
        </w:rPr>
        <w:t xml:space="preserve">Annex I.B – Description of Processing</w:t>
      </w:r>
    </w:p>
    <w:p>
      <w:pPr>
        <w:spacing w:after="0" w:before="80"/>
      </w:pPr>
    </w:p>
    <w:p>
      <w:pPr>
        <w:spacing w:after="60" w:before="180"/>
      </w:pPr>
      <w:r>
        <w:rPr>
          <w:rFonts w:ascii="Arial" w:cs="Arial" w:eastAsia="Arial" w:hAnsi="Arial"/>
          <w:b/>
          <w:bCs/>
          <w:i w:val="false"/>
          <w:iCs w:val="false"/>
          <w:color w:val="1A1A1A"/>
          <w:sz w:val="22"/>
          <w:szCs w:val="22"/>
        </w:rPr>
        <w:t xml:space="preserve">Subject Matter</w:t>
      </w:r>
    </w:p>
    <w:p>
      <w:pPr>
        <w:spacing w:after="80" w:before="80"/>
        <w:jc w:val="left"/>
      </w:pPr>
      <w:r>
        <w:rPr>
          <w:rFonts w:ascii="Arial" w:cs="Arial" w:eastAsia="Arial" w:hAnsi="Arial"/>
          <w:b w:val="false"/>
          <w:bCs w:val="false"/>
          <w:i w:val="false"/>
          <w:iCs w:val="false"/>
          <w:color w:val="1A1A1A"/>
          <w:sz w:val="22"/>
          <w:szCs w:val="22"/>
        </w:rPr>
        <w:t xml:space="preserve">Provision of the Gumb SaaS platform (web.gumb.app and mobile apps for iOS and Android) as communication and scheduling software. The platform enables the management of members, appointments, events, and internal communication processes of the organisation.</w:t>
      </w:r>
    </w:p>
    <w:p>
      <w:pPr>
        <w:spacing w:after="0" w:before="100"/>
      </w:pPr>
    </w:p>
    <w:p>
      <w:pPr>
        <w:spacing w:after="60" w:before="180"/>
      </w:pPr>
      <w:r>
        <w:rPr>
          <w:rFonts w:ascii="Arial" w:cs="Arial" w:eastAsia="Arial" w:hAnsi="Arial"/>
          <w:b/>
          <w:bCs/>
          <w:i w:val="false"/>
          <w:iCs w:val="false"/>
          <w:color w:val="1A1A1A"/>
          <w:sz w:val="22"/>
          <w:szCs w:val="22"/>
        </w:rPr>
        <w:t xml:space="preserve">Duration of Processing</w:t>
      </w:r>
    </w:p>
    <w:p>
      <w:pPr>
        <w:spacing w:after="80" w:before="80"/>
        <w:jc w:val="left"/>
      </w:pPr>
      <w:r>
        <w:rPr>
          <w:rFonts w:ascii="Arial" w:cs="Arial" w:eastAsia="Arial" w:hAnsi="Arial"/>
          <w:b w:val="false"/>
          <w:bCs w:val="false"/>
          <w:i w:val="false"/>
          <w:iCs w:val="false"/>
          <w:color w:val="1A1A1A"/>
          <w:sz w:val="22"/>
          <w:szCs w:val="22"/>
        </w:rPr>
        <w:t xml:space="preserve">Active processing of personal data takes place for the duration of the subscription agreement. Upon termination, the following retention rules apply per data category:</w:t>
      </w:r>
    </w:p>
    <w:p>
      <w:pPr>
        <w:spacing w:after="0" w:before="60"/>
      </w:pPr>
    </w:p>
    <w:p>
      <w:pPr>
        <w:spacing w:after="80" w:before="80"/>
        <w:jc w:val="left"/>
      </w:pPr>
      <w:r>
        <w:rPr>
          <w:rFonts w:ascii="Arial" w:cs="Arial" w:eastAsia="Arial" w:hAnsi="Arial"/>
          <w:b/>
          <w:bCs/>
          <w:i w:val="false"/>
          <w:iCs w:val="false"/>
          <w:color w:val="1A1A1A"/>
          <w:sz w:val="22"/>
          <w:szCs w:val="22"/>
        </w:rPr>
        <w:t xml:space="preserve">Platform data (PostgreSQL): </w:t>
      </w:r>
      <w:r>
        <w:rPr>
          <w:rFonts w:ascii="Arial" w:cs="Arial" w:eastAsia="Arial" w:hAnsi="Arial"/>
          <w:b w:val="false"/>
          <w:bCs w:val="false"/>
          <w:i w:val="false"/>
          <w:iCs w:val="false"/>
          <w:color w:val="1A1A1A"/>
          <w:sz w:val="22"/>
          <w:szCs w:val="22"/>
        </w:rPr>
        <w:t xml:space="preserve">Data is not automatically deleted after subscription cancellation. Deletion is possible by: (a) the Community Owner via «Delete Community», (b) the user themselves, or (c) upon written request to support@gumb.app.</w:t>
      </w:r>
    </w:p>
    <w:p>
      <w:pPr>
        <w:spacing w:after="0" w:before="60"/>
      </w:pPr>
    </w:p>
    <w:p>
      <w:pPr>
        <w:spacing w:after="80" w:before="80"/>
        <w:jc w:val="left"/>
      </w:pPr>
      <w:r>
        <w:rPr>
          <w:rFonts w:ascii="Arial" w:cs="Arial" w:eastAsia="Arial" w:hAnsi="Arial"/>
          <w:b/>
          <w:bCs/>
          <w:i w:val="false"/>
          <w:iCs w:val="false"/>
          <w:color w:val="1A1A1A"/>
          <w:sz w:val="22"/>
          <w:szCs w:val="22"/>
        </w:rPr>
        <w:t xml:space="preserve">Support data (Zendesk): </w:t>
      </w:r>
      <w:r>
        <w:rPr>
          <w:rFonts w:ascii="Arial" w:cs="Arial" w:eastAsia="Arial" w:hAnsi="Arial"/>
          <w:b w:val="false"/>
          <w:bCs w:val="false"/>
          <w:i w:val="false"/>
          <w:iCs w:val="false"/>
          <w:color w:val="1A1A1A"/>
          <w:sz w:val="22"/>
          <w:szCs w:val="22"/>
        </w:rPr>
        <w:t xml:space="preserve">Retained until an explicit deletion request is made.</w:t>
      </w:r>
    </w:p>
    <w:p>
      <w:pPr>
        <w:spacing w:after="0" w:before="100"/>
      </w:pPr>
    </w:p>
    <w:p>
      <w:pPr>
        <w:spacing w:after="60" w:before="180"/>
      </w:pPr>
      <w:r>
        <w:rPr>
          <w:rFonts w:ascii="Arial" w:cs="Arial" w:eastAsia="Arial" w:hAnsi="Arial"/>
          <w:b/>
          <w:bCs/>
          <w:i w:val="false"/>
          <w:iCs w:val="false"/>
          <w:color w:val="1A1A1A"/>
          <w:sz w:val="22"/>
          <w:szCs w:val="22"/>
        </w:rPr>
        <w:t xml:space="preserve">Nature and Purpose of Processing</w:t>
      </w:r>
    </w:p>
    <w:p>
      <w:pPr>
        <w:spacing w:after="80" w:before="80"/>
        <w:jc w:val="left"/>
      </w:pPr>
      <w:r>
        <w:rPr>
          <w:rFonts w:ascii="Arial" w:cs="Arial" w:eastAsia="Arial" w:hAnsi="Arial"/>
          <w:b w:val="false"/>
          <w:bCs w:val="false"/>
          <w:i w:val="false"/>
          <w:iCs w:val="false"/>
          <w:color w:val="1A1A1A"/>
          <w:sz w:val="22"/>
          <w:szCs w:val="22"/>
        </w:rPr>
        <w:t xml:space="preserve">Exclusively for the provision, operation, and maintenance of the Gumb platform on behalf of the Controller:</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Storage and retrieval of user accounts and profile data</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Management of appointments, events, and attendance</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Internal communication (messages, push notifications)</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Authentication and access management</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Operation of the technical infrastructure (hosting, backups, updates)</w:t>
      </w:r>
    </w:p>
    <w:p>
      <w:pPr>
        <w:spacing w:after="0" w:before="100"/>
      </w:pPr>
    </w:p>
    <w:p>
      <w:pPr>
        <w:spacing w:after="60" w:before="180"/>
      </w:pPr>
      <w:r>
        <w:rPr>
          <w:rFonts w:ascii="Arial" w:cs="Arial" w:eastAsia="Arial" w:hAnsi="Arial"/>
          <w:b/>
          <w:bCs/>
          <w:i w:val="false"/>
          <w:iCs w:val="false"/>
          <w:color w:val="1A1A1A"/>
          <w:sz w:val="22"/>
          <w:szCs w:val="22"/>
        </w:rPr>
        <w:t xml:space="preserve">Categories of Personal Data</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Master data: First name, last name</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Contact data: Email address, phone number (optional)</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Access data: Username, encrypted password</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Profile photo (optional, uploaded by the user)</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Scheduling data: Appointments, availability, attendance</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Communication data: Contents of messages within the platform</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Technical data: IP address (temporary), device information, access logs</w:t>
      </w:r>
    </w:p>
    <w:p>
      <w:pPr>
        <w:spacing w:after="0" w:before="100"/>
      </w:pPr>
    </w:p>
    <w:p>
      <w:pPr>
        <w:spacing w:after="60" w:before="180"/>
      </w:pPr>
      <w:r>
        <w:rPr>
          <w:rFonts w:ascii="Arial" w:cs="Arial" w:eastAsia="Arial" w:hAnsi="Arial"/>
          <w:b/>
          <w:bCs/>
          <w:i w:val="false"/>
          <w:iCs w:val="false"/>
          <w:color w:val="1A1A1A"/>
          <w:sz w:val="22"/>
          <w:szCs w:val="22"/>
        </w:rPr>
        <w:t xml:space="preserve">Special Categories (Art. 9 GDPR)</w:t>
      </w:r>
    </w:p>
    <w:p>
      <w:pPr>
        <w:spacing w:after="80" w:before="80"/>
        <w:jc w:val="left"/>
      </w:pPr>
      <w:r>
        <w:rPr>
          <w:rFonts w:ascii="Arial" w:cs="Arial" w:eastAsia="Arial" w:hAnsi="Arial"/>
          <w:b w:val="false"/>
          <w:bCs w:val="false"/>
          <w:i w:val="false"/>
          <w:iCs w:val="false"/>
          <w:color w:val="1A1A1A"/>
          <w:sz w:val="22"/>
          <w:szCs w:val="22"/>
        </w:rPr>
        <w:t xml:space="preserve">None – unless the Controller explicitly enters such data into the platform.</w:t>
      </w:r>
    </w:p>
    <w:p>
      <w:pPr>
        <w:spacing w:after="0" w:before="100"/>
      </w:pPr>
    </w:p>
    <w:p>
      <w:pPr>
        <w:spacing w:after="60" w:before="180"/>
      </w:pPr>
      <w:r>
        <w:rPr>
          <w:rFonts w:ascii="Arial" w:cs="Arial" w:eastAsia="Arial" w:hAnsi="Arial"/>
          <w:b/>
          <w:bCs/>
          <w:i w:val="false"/>
          <w:iCs w:val="false"/>
          <w:color w:val="1A1A1A"/>
          <w:sz w:val="22"/>
          <w:szCs w:val="22"/>
        </w:rPr>
        <w:t xml:space="preserve">Categories of Data Subjects</w:t>
      </w:r>
    </w:p>
    <w:p>
      <w:pPr>
        <w:pStyle w:val="ListParagraph"/>
        <w:numPr>
          <w:ilvl w:val="0"/>
          <w:numId w:val="2"/>
        </w:numPr>
        <w:spacing w:after="40" w:before="40"/>
      </w:pPr>
      <w:r>
        <w:rPr>
          <w:rFonts w:ascii="Arial" w:cs="Arial" w:eastAsia="Arial" w:hAnsi="Arial"/>
          <w:b w:val="false"/>
          <w:bCs w:val="false"/>
          <w:i w:val="false"/>
          <w:iCs w:val="false"/>
          <w:color w:val="1A1A1A"/>
          <w:sz w:val="22"/>
          <w:szCs w:val="22"/>
        </w:rPr>
        <w:t xml:space="preserve">Members, employees, and contact persons of the organisation using Gumb</w:t>
      </w:r>
    </w:p>
    <w:p>
      <w:pPr>
        <w:spacing w:after="0" w:before="100"/>
      </w:pPr>
    </w:p>
    <w:p>
      <w:pPr>
        <w:spacing w:after="60" w:before="180"/>
      </w:pPr>
      <w:r>
        <w:rPr>
          <w:rFonts w:ascii="Arial" w:cs="Arial" w:eastAsia="Arial" w:hAnsi="Arial"/>
          <w:b/>
          <w:bCs/>
          <w:i w:val="false"/>
          <w:iCs w:val="false"/>
          <w:color w:val="1A1A1A"/>
          <w:sz w:val="22"/>
          <w:szCs w:val="22"/>
        </w:rPr>
        <w:t xml:space="preserve">Estimated Number of Data Subjects</w:t>
      </w:r>
    </w:p>
    <w:p>
      <w:pPr>
        <w:spacing w:after="80" w:before="80"/>
        <w:jc w:val="left"/>
      </w:pPr>
      <w:r>
        <w:rPr>
          <w:rFonts w:ascii="Arial" w:cs="Arial" w:eastAsia="Arial" w:hAnsi="Arial"/>
          <w:b/>
          <w:bCs/>
          <w:i/>
          <w:iCs/>
          <w:color w:val="9C5700"/>
          <w:sz w:val="22"/>
          <w:szCs w:val="22"/>
        </w:rPr>
        <w:t xml:space="preserve">[Please enter estimated number of users]</w:t>
      </w:r>
    </w:p>
    <w:p>
      <w:r>
        <w:br w:type="page"/>
      </w:r>
    </w:p>
    <w:p>
      <w:pPr>
        <w:pBdr>
          <w:bottom w:val="single" w:color="00B8AA" w:sz="6" w:space="2"/>
        </w:pBdr>
        <w:spacing w:after="120" w:before="320"/>
      </w:pPr>
      <w:r>
        <w:rPr>
          <w:rFonts w:ascii="Arial" w:cs="Arial" w:eastAsia="Arial" w:hAnsi="Arial"/>
          <w:b/>
          <w:bCs/>
          <w:i w:val="false"/>
          <w:iCs w:val="false"/>
          <w:color w:val="00B8AA"/>
          <w:sz w:val="28"/>
          <w:szCs w:val="28"/>
        </w:rPr>
        <w:t xml:space="preserve">Annex II – Technical and Organisational Measures (TOMs)</w:t>
      </w:r>
    </w:p>
    <w:p>
      <w:pPr>
        <w:spacing w:after="0" w:before="80"/>
      </w:pPr>
    </w:p>
    <w:p>
      <w:pPr>
        <w:spacing w:after="160" w:before="80"/>
        <w:jc w:val="left"/>
      </w:pPr>
      <w:r>
        <w:rPr>
          <w:rFonts w:ascii="Arial" w:cs="Arial" w:eastAsia="Arial" w:hAnsi="Arial"/>
          <w:b w:val="false"/>
          <w:bCs w:val="false"/>
          <w:i w:val="false"/>
          <w:iCs w:val="false"/>
          <w:color w:val="1A1A1A"/>
          <w:sz w:val="22"/>
          <w:szCs w:val="22"/>
        </w:rPr>
        <w:t xml:space="preserve">Gumb AG has implemented the following measures to ensure a level of security appropriate to the risk pursuant to Art. 32 GDPR: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4"/>
              <w:left w:val="single" w:color="CCCCCC" w:sz="4"/>
              <w:bottom w:val="single" w:color="CCCCCC" w:sz="4"/>
              <w:right w:val="single" w:color="CCCCCC" w:sz="4"/>
            </w:tcBorders>
            <w:shd w:fill="C2EFEC"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Measure</w:t>
            </w:r>
          </w:p>
        </w:tc>
        <w:tc>
          <w:tcPr>
            <w:tcW w:type="dxa" w:w="6426"/>
            <w:tcBorders>
              <w:top w:val="single" w:color="CCCCCC" w:sz="4"/>
              <w:left w:val="single" w:color="CCCCCC" w:sz="4"/>
              <w:bottom w:val="single" w:color="CCCCCC" w:sz="4"/>
              <w:right w:val="single" w:color="CCCCCC" w:sz="4"/>
            </w:tcBorders>
            <w:shd w:fill="C2EFEC"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Description</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1. Access control</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Access to production infrastructure exclusively via SSH key-pair authentication. No password login for servers. Role-based access control (RBAC). Access restricted to authorised personnel.</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2. Transfer encryption</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All data transmitted exclusively via TLS 1.2/1.3 (HTTPS). HTTP requests automatically redirected to HTTPS. HSTS enabled.</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3. Encryption at rest</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Database data stored encrypted (AWS Encryption at Rest). Password hashing via bcrypt.</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4. Physical security</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Server infrastructure hosted at AWS (eu-central-1, Frankfurt). AWS certifications: ISO 27001, SOC 1/2/3, PCI DSS. Physical access to data centres exclusively regulated by AWS.</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5. Availability and resilience</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Automated regular database backups. System availability monitored via automated AWS CloudWatch alarms with immediate email notifications. Scalable cloud architecture, geo-redundant data storage within the EU.</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6. Access rights management</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Role-based access rights (Admin, Member, etc.). Users can only see data belonging to their own organisation. Logical tenant separation.</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7. Logging</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Security-relevant accesses are logged. Audit logs retained for a defined period and available for incident investigation.</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8. Patch management</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Regular updates of operating systems, libraries, and application components. CVE checks and updates as needed.</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9. Incident response</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Security incidents identified and resolved by responsible developers. Managing Director immediately informed. Controller notified of data breaches without undue delay pursuant to Art. 33 GDPR.</w:t>
            </w:r>
          </w:p>
        </w:tc>
      </w:tr>
      <w:tr>
        <w:tc>
          <w:tcPr>
            <w:tcW w:type="dxa" w:w="2600"/>
            <w:tcBorders>
              <w:top w:val="single" w:color="CCCCCC" w:sz="4"/>
              <w:left w:val="single" w:color="CCCCCC" w:sz="4"/>
              <w:bottom w:val="single" w:color="CCCCCC" w:sz="4"/>
              <w:right w:val="single" w:color="CCCCCC" w:sz="4"/>
            </w:tcBorders>
            <w:shd w:fill="E6F8F7"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10. Need-to-know principle</w:t>
            </w:r>
          </w:p>
        </w:tc>
        <w:tc>
          <w:tcPr>
            <w:tcW w:type="dxa" w:w="64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Internal team only has access to data strictly required for their respective tasks. Minimum privilege principle for access rights.</w:t>
            </w:r>
          </w:p>
        </w:tc>
      </w:tr>
    </w:tbl>
    <w:p>
      <w:r>
        <w:br w:type="page"/>
      </w:r>
    </w:p>
    <w:p>
      <w:pPr>
        <w:pBdr>
          <w:bottom w:val="single" w:color="00B8AA" w:sz="6" w:space="2"/>
        </w:pBdr>
        <w:spacing w:after="120" w:before="320"/>
      </w:pPr>
      <w:r>
        <w:rPr>
          <w:rFonts w:ascii="Arial" w:cs="Arial" w:eastAsia="Arial" w:hAnsi="Arial"/>
          <w:b/>
          <w:bCs/>
          <w:i w:val="false"/>
          <w:iCs w:val="false"/>
          <w:color w:val="00B8AA"/>
          <w:sz w:val="28"/>
          <w:szCs w:val="28"/>
        </w:rPr>
        <w:t xml:space="preserve">Annex III – List of Sub-Processors</w:t>
      </w:r>
    </w:p>
    <w:p>
      <w:pPr>
        <w:spacing w:after="0" w:before="80"/>
      </w:pPr>
    </w:p>
    <w:p>
      <w:pPr>
        <w:spacing w:after="160" w:before="80"/>
        <w:jc w:val="left"/>
      </w:pPr>
      <w:r>
        <w:rPr>
          <w:rFonts w:ascii="Arial" w:cs="Arial" w:eastAsia="Arial" w:hAnsi="Arial"/>
          <w:b w:val="false"/>
          <w:bCs w:val="false"/>
          <w:i w:val="false"/>
          <w:iCs w:val="false"/>
          <w:color w:val="1A1A1A"/>
          <w:sz w:val="22"/>
          <w:szCs w:val="22"/>
        </w:rPr>
        <w:t xml:space="preserve">Gumb AG engages the following sub-processors. By signing this agreement, the Controller grants general written authorisation pursuant to Art. 28(2) GDPR. Changes will be communicated in advance with reasonable notice.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2800"/>
        <w:gridCol w:w="2626"/>
      </w:tblGrid>
      <w:tr>
        <w:tc>
          <w:tcPr>
            <w:tcW w:type="dxa" w:w="2000"/>
            <w:tcBorders>
              <w:top w:val="single" w:color="CCCCCC" w:sz="4"/>
              <w:left w:val="single" w:color="CCCCCC" w:sz="4"/>
              <w:bottom w:val="single" w:color="CCCCCC" w:sz="4"/>
              <w:right w:val="single" w:color="CCCCCC" w:sz="4"/>
            </w:tcBorders>
            <w:shd w:fill="C2EFEC"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Company</w:t>
            </w:r>
          </w:p>
        </w:tc>
        <w:tc>
          <w:tcPr>
            <w:tcW w:type="dxa" w:w="1600"/>
            <w:tcBorders>
              <w:top w:val="single" w:color="CCCCCC" w:sz="4"/>
              <w:left w:val="single" w:color="CCCCCC" w:sz="4"/>
              <w:bottom w:val="single" w:color="CCCCCC" w:sz="4"/>
              <w:right w:val="single" w:color="CCCCCC" w:sz="4"/>
            </w:tcBorders>
            <w:shd w:fill="C2EFEC"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Location / Region</w:t>
            </w:r>
          </w:p>
        </w:tc>
        <w:tc>
          <w:tcPr>
            <w:tcW w:type="dxa" w:w="2800"/>
            <w:tcBorders>
              <w:top w:val="single" w:color="CCCCCC" w:sz="4"/>
              <w:left w:val="single" w:color="CCCCCC" w:sz="4"/>
              <w:bottom w:val="single" w:color="CCCCCC" w:sz="4"/>
              <w:right w:val="single" w:color="CCCCCC" w:sz="4"/>
            </w:tcBorders>
            <w:shd w:fill="C2EFEC"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Service</w:t>
            </w:r>
          </w:p>
        </w:tc>
        <w:tc>
          <w:tcPr>
            <w:tcW w:type="dxa" w:w="2626"/>
            <w:tcBorders>
              <w:top w:val="single" w:color="CCCCCC" w:sz="4"/>
              <w:left w:val="single" w:color="CCCCCC" w:sz="4"/>
              <w:bottom w:val="single" w:color="CCCCCC" w:sz="4"/>
              <w:right w:val="single" w:color="CCCCCC" w:sz="4"/>
            </w:tcBorders>
            <w:shd w:fill="C2EFEC" w:val="clear"/>
            <w:tcMar>
              <w:top w:type="dxa" w:w="80"/>
              <w:left w:type="dxa" w:w="120"/>
              <w:bottom w:type="dxa" w:w="80"/>
              <w:right w:type="dxa" w:w="120"/>
            </w:tcMar>
            <w:vAlign w:val="top"/>
          </w:tcPr>
          <w:p>
            <w:pPr>
              <w:spacing w:after="80" w:before="80"/>
              <w:jc w:val="left"/>
            </w:pPr>
            <w:r>
              <w:rPr>
                <w:rFonts w:ascii="Arial" w:cs="Arial" w:eastAsia="Arial" w:hAnsi="Arial"/>
                <w:b/>
                <w:bCs/>
                <w:i w:val="false"/>
                <w:iCs w:val="false"/>
                <w:color w:val="1A1A1A"/>
                <w:sz w:val="22"/>
                <w:szCs w:val="22"/>
              </w:rPr>
              <w:t xml:space="preserve">Data Protection</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Amazon Web Services (AWS)</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USA / EU (Frankfurt)</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Hosting, cloud infrastructure, database operations, S3 storage</w:t>
            </w:r>
          </w:p>
        </w:tc>
        <w:tc>
          <w:tcPr>
            <w:tcW w:type="dxa" w:w="26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ISO 27001, SOC 1/2/3, PCI DSS; AWS DPA + SCC; processing in eu-central-1</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Stripe Inc.</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USA / Ireland</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Payment processing, subscription management (being introduced)</w:t>
            </w:r>
          </w:p>
        </w:tc>
        <w:tc>
          <w:tcPr>
            <w:tcW w:type="dxa" w:w="26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PCI DSS Level 1; SCC; EU establishment Ireland</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PayPal (Europe) S.à r.l.</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Luxembourg / EU</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Payment processing (being phased out in favour of Stripe)</w:t>
            </w:r>
          </w:p>
        </w:tc>
        <w:tc>
          <w:tcPr>
            <w:tcW w:type="dxa" w:w="26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PCI DSS Level 1; EU establishment Luxembourg. Note: PayPal is an independent Controller – Gumb AG does not receive payment card data.</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Zendesk Inc.</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USA / EU</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Customer support ticketing system</w:t>
            </w:r>
          </w:p>
        </w:tc>
        <w:tc>
          <w:tcPr>
            <w:tcW w:type="dxa" w:w="26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ISO 27001; SOC 2 Type II; SCC</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Apple Inc.</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USA / Ireland</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iOS app distribution via App Store</w:t>
            </w:r>
          </w:p>
        </w:tc>
        <w:tc>
          <w:tcPr>
            <w:tcW w:type="dxa" w:w="26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No access to content data; pure app distribution</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Google LLC</w:t>
            </w:r>
          </w:p>
        </w:tc>
        <w:tc>
          <w:tcPr>
            <w:tcW w:type="dxa" w:w="16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USA / EU</w:t>
            </w:r>
          </w:p>
        </w:tc>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Android app distribution (Play Store); push notifications (FCM)</w:t>
            </w:r>
          </w:p>
        </w:tc>
        <w:tc>
          <w:tcPr>
            <w:tcW w:type="dxa" w:w="2626"/>
            <w:tcBorders>
              <w:top w:val="single" w:color="CCCCCC" w:sz="4"/>
              <w:left w:val="single" w:color="CCCCCC" w:sz="4"/>
              <w:bottom w:val="single" w:color="CCCCCC" w:sz="4"/>
              <w:right w:val="single" w:color="CCCCCC" w:sz="4"/>
            </w:tcBorders>
            <w:tcMar>
              <w:top w:type="dxa" w:w="80"/>
              <w:left w:type="dxa" w:w="120"/>
              <w:bottom w:type="dxa" w:w="80"/>
              <w:right w:type="dxa" w:w="120"/>
            </w:tcMar>
            <w:vAlign w:val="top"/>
          </w:tcPr>
          <w:p>
            <w:pPr>
              <w:spacing w:after="80" w:before="80"/>
              <w:jc w:val="left"/>
            </w:pPr>
            <w:r>
              <w:rPr>
                <w:rFonts w:ascii="Arial" w:cs="Arial" w:eastAsia="Arial" w:hAnsi="Arial"/>
                <w:b w:val="false"/>
                <w:bCs w:val="false"/>
                <w:i w:val="false"/>
                <w:iCs w:val="false"/>
                <w:color w:val="1A1A1A"/>
                <w:sz w:val="22"/>
                <w:szCs w:val="22"/>
              </w:rPr>
              <w:t xml:space="preserve">ISO 27001; SCC; EU data centres for FCM</w:t>
            </w:r>
          </w:p>
        </w:tc>
      </w:tr>
    </w:tbl>
    <w:p>
      <w:pPr>
        <w:spacing w:after="0" w:before="160"/>
      </w:pPr>
    </w:p>
    <w:p>
      <w:pPr>
        <w:spacing w:after="80" w:before="80"/>
        <w:jc w:val="left"/>
      </w:pPr>
      <w:r>
        <w:rPr>
          <w:rFonts w:ascii="Arial" w:cs="Arial" w:eastAsia="Arial" w:hAnsi="Arial"/>
          <w:b/>
          <w:bCs/>
          <w:i w:val="false"/>
          <w:iCs w:val="false"/>
          <w:color w:val="1A1A1A"/>
          <w:sz w:val="22"/>
          <w:szCs w:val="22"/>
        </w:rPr>
        <w:t xml:space="preserve">SCC</w:t>
      </w:r>
      <w:r>
        <w:rPr>
          <w:rFonts w:ascii="Arial" w:cs="Arial" w:eastAsia="Arial" w:hAnsi="Arial"/>
          <w:b w:val="false"/>
          <w:bCs w:val="false"/>
          <w:i w:val="false"/>
          <w:iCs w:val="false"/>
          <w:color w:val="555555"/>
          <w:sz w:val="20"/>
          <w:szCs w:val="20"/>
        </w:rPr>
        <w:t xml:space="preserve"> = EU Standard Contractual Clauses pursuant to Art. 46 GDPR. All sub-processors listed outside the EEA process data on the basis of the currently applicable SCC.</w:t>
      </w:r>
    </w:p>
    <w:sectPr>
      <w:headerReference w:type="default" r:id="rId7"/>
      <w:headerReference w:type="first" r:id="rId8"/>
      <w:footerReference w:type="default" r:id="rId9"/>
      <w:pgSz w:w="11906" w:h="16838"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spacing w:before="160"/>
      <w:jc w:val="center"/>
    </w:pPr>
    <w:r>
      <w:rPr>
        <w:rFonts w:ascii="Arial" w:cs="Arial" w:eastAsia="Arial" w:hAnsi="Arial"/>
        <w:b w:val="false"/>
        <w:bCs w:val="false"/>
        <w:i w:val="false"/>
        <w:iCs w:val="false"/>
        <w:color w:val="888888"/>
        <w:sz w:val="18"/>
        <w:szCs w:val="18"/>
      </w:rPr>
      <w:t xml:space="preserve">Gumb AG  –  Büsingerstrasse 5  –  CH-8203 Schaffhausen  –  support@gumb.app  –  gumb.app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B8AA" w:sz="4" w:space="6"/>
      </w:pBdr>
      <w:spacing w:after="160" w:before="0"/>
    </w:pPr>
    <w:r>
      <w:drawing>
        <wp:inline distT="0" distB="0" distL="0" distR="0">
          <wp:extent cx="171450" cy="1714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71450" cy="171450"/>
                  </a:xfrm>
                  <a:prstGeom prst="rect">
                    <a:avLst/>
                  </a:prstGeom>
                </pic:spPr>
              </pic:pic>
            </a:graphicData>
          </a:graphic>
        </wp:inline>
      </w:drawing>
    </w:r>
    <w:r>
      <w:rPr>
        <w:rFonts w:ascii="Arial" w:cs="Arial" w:eastAsia="Arial" w:hAnsi="Arial"/>
        <w:b w:val="false"/>
        <w:bCs w:val="false"/>
        <w:i w:val="false"/>
        <w:iCs w:val="false"/>
        <w:color w:val="888888"/>
        <w:sz w:val="18"/>
        <w:szCs w:val="18"/>
      </w:rPr>
      <w:t xml:space="preserve">   Gumb AG  ·  Data Processing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image" Target="media/243f3b2dc5dd608bec75e46cac3390a8d813a268.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ddf860c516f09eedc5f3969dedffa1eceb7c7fc.png"/></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2026-06-24T08:23:14.865Z</dcterms:created>
  <dcterms:modified xsi:type="dcterms:W3CDTF">2026-06-24T08:23:14.865Z</dcterms:modified>
</cp:coreProperties>
</file>

<file path=docProps/custom.xml><?xml version="1.0" encoding="utf-8"?>
<Properties xmlns="http://schemas.openxmlformats.org/officeDocument/2006/custom-properties" xmlns:vt="http://schemas.openxmlformats.org/officeDocument/2006/docPropsVTypes"/>
</file>